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B498" w14:textId="623CCD27" w:rsidR="00C34171" w:rsidRPr="00C34171" w:rsidRDefault="00C34171" w:rsidP="00C34171">
      <w:pPr>
        <w:rPr>
          <w:b/>
          <w:bCs/>
          <w:sz w:val="28"/>
          <w:szCs w:val="28"/>
          <w:u w:val="single"/>
        </w:rPr>
      </w:pPr>
      <w:r w:rsidRPr="00C34171">
        <w:rPr>
          <w:b/>
          <w:bCs/>
          <w:sz w:val="28"/>
          <w:szCs w:val="28"/>
          <w:u w:val="single"/>
        </w:rPr>
        <w:t xml:space="preserve">Profile – Chew </w:t>
      </w:r>
      <w:proofErr w:type="spellStart"/>
      <w:r w:rsidRPr="00C34171">
        <w:rPr>
          <w:b/>
          <w:bCs/>
          <w:sz w:val="28"/>
          <w:szCs w:val="28"/>
          <w:u w:val="single"/>
        </w:rPr>
        <w:t>Phye</w:t>
      </w:r>
      <w:proofErr w:type="spellEnd"/>
      <w:r w:rsidRPr="00C34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34171">
        <w:rPr>
          <w:b/>
          <w:bCs/>
          <w:sz w:val="28"/>
          <w:szCs w:val="28"/>
          <w:u w:val="single"/>
        </w:rPr>
        <w:t>Keat</w:t>
      </w:r>
      <w:proofErr w:type="spellEnd"/>
    </w:p>
    <w:p w14:paraId="58C678A2" w14:textId="0C777CB4" w:rsidR="002C63D0" w:rsidRPr="00C34171" w:rsidRDefault="00C34171" w:rsidP="00C34171">
      <w:pPr>
        <w:rPr>
          <w:sz w:val="28"/>
          <w:szCs w:val="28"/>
        </w:rPr>
      </w:pPr>
      <w:proofErr w:type="spellStart"/>
      <w:r w:rsidRPr="00C34171">
        <w:rPr>
          <w:sz w:val="28"/>
          <w:szCs w:val="28"/>
        </w:rPr>
        <w:t>Phye</w:t>
      </w:r>
      <w:proofErr w:type="spellEnd"/>
      <w:r w:rsidRPr="00C34171">
        <w:rPr>
          <w:sz w:val="28"/>
          <w:szCs w:val="28"/>
        </w:rPr>
        <w:t xml:space="preserve"> </w:t>
      </w:r>
      <w:proofErr w:type="spellStart"/>
      <w:r w:rsidRPr="00C34171">
        <w:rPr>
          <w:sz w:val="28"/>
          <w:szCs w:val="28"/>
        </w:rPr>
        <w:t>Keat</w:t>
      </w:r>
      <w:proofErr w:type="spellEnd"/>
      <w:r w:rsidRPr="00C34171">
        <w:rPr>
          <w:sz w:val="28"/>
          <w:szCs w:val="28"/>
        </w:rPr>
        <w:t xml:space="preserve"> is a seasoned practitioner in corporate, commercial, ICT and intellectual property laws, having handled a broad spectrum of corporate and commercial transactions. He is a Managing Partner of Raja, Darryl &amp; </w:t>
      </w:r>
      <w:proofErr w:type="spellStart"/>
      <w:r w:rsidRPr="00C34171">
        <w:rPr>
          <w:sz w:val="28"/>
          <w:szCs w:val="28"/>
        </w:rPr>
        <w:t>Loh</w:t>
      </w:r>
      <w:proofErr w:type="spellEnd"/>
      <w:r w:rsidRPr="00C34171">
        <w:rPr>
          <w:sz w:val="28"/>
          <w:szCs w:val="28"/>
        </w:rPr>
        <w:t xml:space="preserve">. Additionally, he is a Director of the Coalition for Business Integrity </w:t>
      </w:r>
      <w:proofErr w:type="spellStart"/>
      <w:r w:rsidRPr="00C34171">
        <w:rPr>
          <w:sz w:val="28"/>
          <w:szCs w:val="28"/>
        </w:rPr>
        <w:t>Bhd</w:t>
      </w:r>
      <w:proofErr w:type="spellEnd"/>
      <w:r w:rsidRPr="00C34171">
        <w:rPr>
          <w:sz w:val="28"/>
          <w:szCs w:val="28"/>
        </w:rPr>
        <w:t xml:space="preserve"> (CBI) and on the Exco of Transparency International Malaysia.</w:t>
      </w:r>
    </w:p>
    <w:sectPr w:rsidR="002C63D0" w:rsidRPr="00C3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71"/>
    <w:rsid w:val="00107E1A"/>
    <w:rsid w:val="002C63D0"/>
    <w:rsid w:val="00963355"/>
    <w:rsid w:val="00C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3949"/>
  <w15:chartTrackingRefBased/>
  <w15:docId w15:val="{37436214-4759-4601-9486-1D8C0E6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2022-04-26T08:33:00Z</dcterms:created>
  <dcterms:modified xsi:type="dcterms:W3CDTF">2022-04-26T08:35:00Z</dcterms:modified>
</cp:coreProperties>
</file>